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AEFE" w14:textId="77777777" w:rsidR="00EF347E" w:rsidRDefault="00EF347E" w:rsidP="000C22D9">
      <w:pPr>
        <w:rPr>
          <w:rFonts w:asciiTheme="minorHAnsi" w:hAnsiTheme="minorHAnsi"/>
          <w:sz w:val="28"/>
          <w:szCs w:val="22"/>
        </w:rPr>
      </w:pPr>
      <w:r w:rsidRPr="00EF347E">
        <w:rPr>
          <w:rFonts w:asciiTheme="minorHAnsi" w:hAnsiTheme="minorHAnsi"/>
          <w:sz w:val="28"/>
          <w:szCs w:val="22"/>
        </w:rPr>
        <w:t>Présentation du scénario négaWatt et de l’association</w:t>
      </w:r>
    </w:p>
    <w:p w14:paraId="70213D42" w14:textId="77777777" w:rsidR="00574EE7" w:rsidRDefault="00574EE7" w:rsidP="000C22D9">
      <w:pPr>
        <w:rPr>
          <w:rFonts w:asciiTheme="minorHAnsi" w:hAnsiTheme="minorHAnsi"/>
          <w:sz w:val="28"/>
          <w:szCs w:val="22"/>
        </w:rPr>
      </w:pPr>
    </w:p>
    <w:p w14:paraId="4637F7E6" w14:textId="795708C4" w:rsidR="00574EE7" w:rsidRPr="00574EE7" w:rsidRDefault="00574EE7" w:rsidP="000C22D9">
      <w:pPr>
        <w:rPr>
          <w:rFonts w:asciiTheme="minorHAnsi" w:hAnsiTheme="minorHAnsi"/>
          <w:szCs w:val="22"/>
        </w:rPr>
      </w:pPr>
      <w:r w:rsidRPr="00574EE7">
        <w:rPr>
          <w:rFonts w:asciiTheme="minorHAnsi" w:hAnsiTheme="minorHAnsi"/>
          <w:szCs w:val="22"/>
          <w:u w:val="single"/>
        </w:rPr>
        <w:t>Propositions de titre</w:t>
      </w:r>
      <w:r w:rsidR="00F849DD">
        <w:rPr>
          <w:rFonts w:asciiTheme="minorHAnsi" w:hAnsiTheme="minorHAnsi"/>
          <w:szCs w:val="22"/>
          <w:u w:val="single"/>
        </w:rPr>
        <w:t xml:space="preserve"> </w:t>
      </w:r>
      <w:r w:rsidRPr="00574EE7">
        <w:rPr>
          <w:rFonts w:asciiTheme="minorHAnsi" w:hAnsiTheme="minorHAnsi"/>
          <w:szCs w:val="22"/>
          <w:u w:val="single"/>
        </w:rPr>
        <w:t>pour l’intervention</w:t>
      </w:r>
      <w:r w:rsidRPr="00574EE7">
        <w:rPr>
          <w:rFonts w:asciiTheme="minorHAnsi" w:hAnsiTheme="minorHAnsi"/>
          <w:szCs w:val="22"/>
        </w:rPr>
        <w:t> :</w:t>
      </w:r>
    </w:p>
    <w:p w14:paraId="3EC942EA" w14:textId="2393EAA9" w:rsidR="00574EE7" w:rsidRPr="00574EE7" w:rsidRDefault="00F849DD" w:rsidP="00F849DD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t</w:t>
      </w:r>
      <w:r w:rsidR="00574EE7" w:rsidRPr="00574EE7">
        <w:rPr>
          <w:rFonts w:asciiTheme="minorHAnsi" w:hAnsiTheme="minorHAnsi"/>
          <w:sz w:val="22"/>
          <w:szCs w:val="22"/>
        </w:rPr>
        <w:t>ransition énergétique </w:t>
      </w:r>
      <w:r>
        <w:rPr>
          <w:rFonts w:asciiTheme="minorHAnsi" w:hAnsiTheme="minorHAnsi"/>
          <w:sz w:val="22"/>
          <w:szCs w:val="22"/>
        </w:rPr>
        <w:t>au cœur d’une transition sociétale</w:t>
      </w:r>
      <w:r w:rsidR="00574EE7">
        <w:rPr>
          <w:rFonts w:asciiTheme="minorHAnsi" w:hAnsiTheme="minorHAnsi"/>
          <w:sz w:val="22"/>
          <w:szCs w:val="22"/>
        </w:rPr>
        <w:t xml:space="preserve"> </w:t>
      </w:r>
    </w:p>
    <w:p w14:paraId="4A18DDF4" w14:textId="77777777" w:rsidR="00574EE7" w:rsidRPr="00EF347E" w:rsidRDefault="00574EE7" w:rsidP="000C22D9">
      <w:pPr>
        <w:rPr>
          <w:rFonts w:asciiTheme="minorHAnsi" w:hAnsiTheme="minorHAnsi"/>
          <w:sz w:val="28"/>
          <w:szCs w:val="22"/>
        </w:rPr>
      </w:pPr>
    </w:p>
    <w:p w14:paraId="3707B667" w14:textId="77777777" w:rsidR="00EF347E" w:rsidRPr="00EF347E" w:rsidRDefault="00EF347E" w:rsidP="00EF347E">
      <w:pPr>
        <w:rPr>
          <w:rFonts w:asciiTheme="minorHAnsi" w:hAnsiTheme="minorHAnsi"/>
          <w:color w:val="0070C0"/>
          <w:sz w:val="22"/>
          <w:szCs w:val="22"/>
        </w:rPr>
      </w:pPr>
      <w:r w:rsidRPr="00EF347E">
        <w:rPr>
          <w:rFonts w:asciiTheme="minorHAnsi" w:hAnsiTheme="minorHAnsi"/>
          <w:color w:val="0070C0"/>
          <w:sz w:val="22"/>
          <w:szCs w:val="22"/>
        </w:rPr>
        <w:t>(en bleu : version synthétique)</w:t>
      </w:r>
    </w:p>
    <w:p w14:paraId="3DED6250" w14:textId="77777777" w:rsidR="00EF347E" w:rsidRDefault="00EF347E" w:rsidP="000C22D9">
      <w:pPr>
        <w:rPr>
          <w:rFonts w:asciiTheme="minorHAnsi" w:hAnsiTheme="minorHAnsi"/>
          <w:sz w:val="22"/>
          <w:szCs w:val="22"/>
          <w:u w:val="single"/>
        </w:rPr>
      </w:pPr>
    </w:p>
    <w:p w14:paraId="56E1692F" w14:textId="41672DD8" w:rsidR="000C22D9" w:rsidRDefault="00EF347E" w:rsidP="000C22D9">
      <w:pPr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Scénario </w:t>
      </w:r>
      <w:proofErr w:type="spellStart"/>
      <w:r>
        <w:rPr>
          <w:rFonts w:asciiTheme="minorHAnsi" w:hAnsiTheme="minorHAnsi"/>
          <w:sz w:val="22"/>
          <w:szCs w:val="22"/>
          <w:u w:val="single"/>
        </w:rPr>
        <w:t>négaWatt</w:t>
      </w:r>
      <w:proofErr w:type="spellEnd"/>
      <w:r w:rsidR="004845C4">
        <w:rPr>
          <w:rFonts w:asciiTheme="minorHAnsi" w:hAnsiTheme="minorHAnsi"/>
          <w:sz w:val="22"/>
          <w:szCs w:val="22"/>
          <w:u w:val="single"/>
        </w:rPr>
        <w:t xml:space="preserve"> 20</w:t>
      </w:r>
      <w:r w:rsidR="00F849DD">
        <w:rPr>
          <w:rFonts w:asciiTheme="minorHAnsi" w:hAnsiTheme="minorHAnsi"/>
          <w:sz w:val="22"/>
          <w:szCs w:val="22"/>
          <w:u w:val="single"/>
        </w:rPr>
        <w:t>22</w:t>
      </w:r>
    </w:p>
    <w:p w14:paraId="2E56853F" w14:textId="77777777" w:rsidR="00F849DD" w:rsidRDefault="00F849DD" w:rsidP="000C22D9">
      <w:pPr>
        <w:rPr>
          <w:rFonts w:asciiTheme="minorHAnsi" w:hAnsiTheme="minorHAnsi"/>
          <w:sz w:val="22"/>
          <w:szCs w:val="22"/>
        </w:rPr>
      </w:pPr>
    </w:p>
    <w:p w14:paraId="208D0CEA" w14:textId="48428A31" w:rsidR="000C22D9" w:rsidRDefault="00F849DD" w:rsidP="000C22D9">
      <w:pPr>
        <w:rPr>
          <w:rFonts w:asciiTheme="minorHAnsi" w:hAnsiTheme="minorHAnsi"/>
          <w:sz w:val="22"/>
          <w:szCs w:val="22"/>
        </w:rPr>
      </w:pPr>
      <w:r w:rsidRPr="00F849DD">
        <w:rPr>
          <w:rFonts w:ascii="Tahoma" w:eastAsia="Times New Roman" w:hAnsi="Tahoma" w:cs="Tahoma"/>
          <w:sz w:val="20"/>
          <w:szCs w:val="20"/>
        </w:rPr>
        <w:t xml:space="preserve">Les conséquences du dérèglement climatique sont déjà visibles, y compris en France. Le récent rapport publié par le Groupe d’experts intergouvernemental sur l’évolution du climat (GIEC) vient à nouveau confirmer l’origine anthropique de ces bouleversements. Depuis 20 ans, l’Association </w:t>
      </w:r>
      <w:proofErr w:type="spellStart"/>
      <w:r w:rsidRPr="00F849DD">
        <w:rPr>
          <w:rFonts w:ascii="Tahoma" w:eastAsia="Times New Roman" w:hAnsi="Tahoma" w:cs="Tahoma"/>
          <w:sz w:val="20"/>
          <w:szCs w:val="20"/>
        </w:rPr>
        <w:t>négaWatt</w:t>
      </w:r>
      <w:proofErr w:type="spellEnd"/>
      <w:r w:rsidRPr="00F849DD">
        <w:rPr>
          <w:rFonts w:ascii="Tahoma" w:eastAsia="Times New Roman" w:hAnsi="Tahoma" w:cs="Tahoma"/>
          <w:sz w:val="20"/>
          <w:szCs w:val="20"/>
        </w:rPr>
        <w:t xml:space="preserve"> contribue à la recherche de solutions en traçant la voie d’une société plus respectueuse des ressources de la planète, de la biodiversité et de l’humain</w:t>
      </w:r>
      <w:r w:rsidR="000C22D9">
        <w:rPr>
          <w:rFonts w:asciiTheme="minorHAnsi" w:hAnsiTheme="minorHAnsi"/>
          <w:sz w:val="22"/>
          <w:szCs w:val="22"/>
        </w:rPr>
        <w:t xml:space="preserve">. </w:t>
      </w:r>
    </w:p>
    <w:p w14:paraId="3BBC5E81" w14:textId="77777777" w:rsidR="00F849DD" w:rsidRPr="00F849DD" w:rsidRDefault="00F849DD" w:rsidP="000C22D9">
      <w:pPr>
        <w:rPr>
          <w:rFonts w:eastAsia="Times New Roman"/>
        </w:rPr>
      </w:pPr>
    </w:p>
    <w:p w14:paraId="57B046C9" w14:textId="77777777" w:rsidR="00F849DD" w:rsidRDefault="000C22D9" w:rsidP="000C22D9">
      <w:pPr>
        <w:rPr>
          <w:rFonts w:asciiTheme="minorHAnsi" w:hAnsiTheme="minorHAnsi"/>
          <w:color w:val="0070C0"/>
          <w:sz w:val="22"/>
          <w:szCs w:val="22"/>
        </w:rPr>
      </w:pPr>
      <w:r w:rsidRPr="00EF347E">
        <w:rPr>
          <w:rFonts w:asciiTheme="minorHAnsi" w:hAnsiTheme="minorHAnsi"/>
          <w:color w:val="0070C0"/>
          <w:sz w:val="22"/>
          <w:szCs w:val="22"/>
        </w:rPr>
        <w:t>En appliquant la démarche négaWatt - sobriété, efficacité énergétique, énergies renouvelables - à l'ensemble de nos besoins, l'</w:t>
      </w:r>
      <w:r w:rsidR="000807BF">
        <w:rPr>
          <w:rFonts w:asciiTheme="minorHAnsi" w:hAnsiTheme="minorHAnsi"/>
          <w:color w:val="0070C0"/>
          <w:sz w:val="22"/>
          <w:szCs w:val="22"/>
        </w:rPr>
        <w:t>A</w:t>
      </w:r>
      <w:r w:rsidRPr="00EF347E">
        <w:rPr>
          <w:rFonts w:asciiTheme="minorHAnsi" w:hAnsiTheme="minorHAnsi"/>
          <w:color w:val="0070C0"/>
          <w:sz w:val="22"/>
          <w:szCs w:val="22"/>
        </w:rPr>
        <w:t xml:space="preserve">ssociation négaWatt a élaboré un scénario </w:t>
      </w:r>
      <w:r w:rsidR="003F3601">
        <w:rPr>
          <w:rFonts w:asciiTheme="minorHAnsi" w:hAnsiTheme="minorHAnsi"/>
          <w:color w:val="0070C0"/>
          <w:sz w:val="22"/>
          <w:szCs w:val="22"/>
        </w:rPr>
        <w:t>de transition énergétique pour la France. G</w:t>
      </w:r>
      <w:r w:rsidRPr="00EF347E">
        <w:rPr>
          <w:rFonts w:asciiTheme="minorHAnsi" w:hAnsiTheme="minorHAnsi"/>
          <w:color w:val="0070C0"/>
          <w:sz w:val="22"/>
          <w:szCs w:val="22"/>
        </w:rPr>
        <w:t xml:space="preserve">râce à une </w:t>
      </w:r>
      <w:r w:rsidR="003F3601">
        <w:rPr>
          <w:rFonts w:asciiTheme="minorHAnsi" w:hAnsiTheme="minorHAnsi"/>
          <w:color w:val="0070C0"/>
          <w:sz w:val="22"/>
          <w:szCs w:val="22"/>
        </w:rPr>
        <w:t>utilisation</w:t>
      </w:r>
      <w:r w:rsidRPr="00EF347E">
        <w:rPr>
          <w:rFonts w:asciiTheme="minorHAnsi" w:hAnsiTheme="minorHAnsi"/>
          <w:color w:val="0070C0"/>
          <w:sz w:val="22"/>
          <w:szCs w:val="22"/>
        </w:rPr>
        <w:t xml:space="preserve"> du formidable potentiel d'écono</w:t>
      </w:r>
      <w:r w:rsidR="003F3601">
        <w:rPr>
          <w:rFonts w:asciiTheme="minorHAnsi" w:hAnsiTheme="minorHAnsi"/>
          <w:color w:val="0070C0"/>
          <w:sz w:val="22"/>
          <w:szCs w:val="22"/>
        </w:rPr>
        <w:t>mie d'énergie qui nous entoure, ce scénario montre comment nous pourrions nous passer progressivement d’énergies fossiles et nucléaire à l’horizon 2050.</w:t>
      </w:r>
    </w:p>
    <w:p w14:paraId="4C2FC195" w14:textId="77777777" w:rsidR="00F849DD" w:rsidRDefault="000C22D9" w:rsidP="00F849DD">
      <w:r w:rsidRPr="00EF347E">
        <w:rPr>
          <w:rFonts w:asciiTheme="minorHAnsi" w:hAnsiTheme="minorHAnsi"/>
          <w:color w:val="0070C0"/>
          <w:sz w:val="22"/>
          <w:szCs w:val="22"/>
        </w:rPr>
        <w:br/>
      </w:r>
      <w:r w:rsidR="00F849DD">
        <w:rPr>
          <w:rFonts w:ascii="Tahoma" w:hAnsi="Tahoma" w:cs="Tahoma"/>
          <w:sz w:val="20"/>
          <w:szCs w:val="20"/>
        </w:rPr>
        <w:t xml:space="preserve">Ce scénario, le 5e depuis la création de l'association en 2001, a été remis à jour en 2021 et </w:t>
      </w:r>
      <w:proofErr w:type="gramStart"/>
      <w:r w:rsidR="00F849DD">
        <w:rPr>
          <w:rFonts w:ascii="Tahoma" w:hAnsi="Tahoma" w:cs="Tahoma"/>
          <w:sz w:val="20"/>
          <w:szCs w:val="20"/>
        </w:rPr>
        <w:t>est  l'un</w:t>
      </w:r>
      <w:proofErr w:type="gramEnd"/>
      <w:r w:rsidR="00F849DD">
        <w:rPr>
          <w:rFonts w:ascii="Tahoma" w:hAnsi="Tahoma" w:cs="Tahoma"/>
          <w:sz w:val="20"/>
          <w:szCs w:val="20"/>
        </w:rPr>
        <w:t xml:space="preserve"> des plus aboutis à l'échelle nationale : il englobe l'ensemble des consommations d'énergie (électricité, carburants, ...) et couvre les différents secteurs consommateurs d'énergie (bâtiment, transports, industrie).</w:t>
      </w:r>
      <w:r w:rsidR="00F849DD">
        <w:rPr>
          <w:rFonts w:ascii="Tahoma" w:hAnsi="Tahoma" w:cs="Tahoma"/>
          <w:sz w:val="20"/>
          <w:szCs w:val="20"/>
        </w:rPr>
        <w:br/>
      </w:r>
      <w:r w:rsidR="00F849DD">
        <w:rPr>
          <w:rFonts w:ascii="Tahoma" w:hAnsi="Tahoma" w:cs="Tahoma"/>
          <w:sz w:val="20"/>
          <w:szCs w:val="20"/>
        </w:rPr>
        <w:br/>
        <w:t xml:space="preserve">Ce scénario </w:t>
      </w:r>
      <w:proofErr w:type="spellStart"/>
      <w:r w:rsidR="00F849DD">
        <w:rPr>
          <w:rFonts w:ascii="Tahoma" w:hAnsi="Tahoma" w:cs="Tahoma"/>
          <w:sz w:val="20"/>
          <w:szCs w:val="20"/>
        </w:rPr>
        <w:t>négaWatt</w:t>
      </w:r>
      <w:proofErr w:type="spellEnd"/>
      <w:r w:rsidR="00F849DD">
        <w:rPr>
          <w:rFonts w:ascii="Tahoma" w:hAnsi="Tahoma" w:cs="Tahoma"/>
          <w:sz w:val="20"/>
          <w:szCs w:val="20"/>
        </w:rPr>
        <w:t xml:space="preserve"> 2022 comporte deux grandes nouveautés par rapport au précédent :</w:t>
      </w:r>
    </w:p>
    <w:p w14:paraId="5F224532" w14:textId="44B47928" w:rsidR="00F849DD" w:rsidRDefault="00F849DD" w:rsidP="00F849DD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rPr>
          <w:rFonts w:ascii="Tahoma" w:hAnsi="Tahoma" w:cs="Tahoma"/>
          <w:sz w:val="20"/>
          <w:szCs w:val="20"/>
        </w:rPr>
        <w:t>les</w:t>
      </w:r>
      <w:proofErr w:type="gramEnd"/>
      <w:r>
        <w:rPr>
          <w:rFonts w:ascii="Tahoma" w:hAnsi="Tahoma" w:cs="Tahoma"/>
          <w:sz w:val="20"/>
          <w:szCs w:val="20"/>
        </w:rPr>
        <w:t xml:space="preserve"> émissions importées, c’est à dire les émissions de gaz à effet de serre engendrées par la fabrication à l’étranger de biens importés en France, sont désormais comptabilisées,</w:t>
      </w:r>
    </w:p>
    <w:p w14:paraId="40C587B9" w14:textId="33BC712B" w:rsidR="00F849DD" w:rsidRDefault="00F849DD" w:rsidP="00F849DD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F849DD">
        <w:rPr>
          <w:rFonts w:ascii="Tahoma" w:hAnsi="Tahoma" w:cs="Tahoma"/>
          <w:sz w:val="20"/>
          <w:szCs w:val="20"/>
        </w:rPr>
        <w:t>le</w:t>
      </w:r>
      <w:proofErr w:type="gramEnd"/>
      <w:r w:rsidRPr="00F849DD">
        <w:rPr>
          <w:rFonts w:ascii="Tahoma" w:hAnsi="Tahoma" w:cs="Tahoma"/>
          <w:sz w:val="20"/>
          <w:szCs w:val="20"/>
        </w:rPr>
        <w:t xml:space="preserve"> scénario </w:t>
      </w:r>
      <w:proofErr w:type="spellStart"/>
      <w:r w:rsidRPr="00F849DD">
        <w:rPr>
          <w:rFonts w:ascii="Tahoma" w:hAnsi="Tahoma" w:cs="Tahoma"/>
          <w:sz w:val="20"/>
          <w:szCs w:val="20"/>
        </w:rPr>
        <w:t>négaWatt</w:t>
      </w:r>
      <w:proofErr w:type="spellEnd"/>
      <w:r w:rsidRPr="00F849DD">
        <w:rPr>
          <w:rFonts w:ascii="Tahoma" w:hAnsi="Tahoma" w:cs="Tahoma"/>
          <w:sz w:val="20"/>
          <w:szCs w:val="20"/>
        </w:rPr>
        <w:t xml:space="preserve"> est couplé à un scénario </w:t>
      </w:r>
      <w:proofErr w:type="spellStart"/>
      <w:r w:rsidRPr="00F849DD">
        <w:rPr>
          <w:rFonts w:ascii="Tahoma" w:hAnsi="Tahoma" w:cs="Tahoma"/>
          <w:sz w:val="20"/>
          <w:szCs w:val="20"/>
        </w:rPr>
        <w:t>négaMat</w:t>
      </w:r>
      <w:proofErr w:type="spellEnd"/>
      <w:r w:rsidRPr="00F849DD">
        <w:rPr>
          <w:rFonts w:ascii="Tahoma" w:hAnsi="Tahoma" w:cs="Tahoma"/>
          <w:sz w:val="20"/>
          <w:szCs w:val="20"/>
        </w:rPr>
        <w:t xml:space="preserve"> qui évalue les évolutions possibles de consommation et de production de matériaux (acier, béton, cuivre, plastiques, lithium, etc.).</w:t>
      </w:r>
    </w:p>
    <w:p w14:paraId="68DE52D4" w14:textId="607828DF" w:rsidR="00F849DD" w:rsidRDefault="00F849DD" w:rsidP="00F849DD">
      <w:r>
        <w:rPr>
          <w:rFonts w:ascii="Tahoma" w:hAnsi="Tahoma" w:cs="Tahoma"/>
          <w:sz w:val="20"/>
          <w:szCs w:val="20"/>
        </w:rPr>
        <w:br/>
        <w:t>Ce scénario atteint la neutralité carbone en 2050 ainsi qu’un mix énergétique à 96 % renouvelable, tout en réduisant fortement l’extraction de matières premières dans la croûte terrestre. Il est également compatible avec l’objectif de -55 % de gaz à effet de serre fixé au niveau européen à l’horizon 2030.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En savoir plus : </w:t>
      </w:r>
      <w:hyperlink r:id="rId5" w:history="1">
        <w:r>
          <w:rPr>
            <w:rStyle w:val="Lienhypertexte"/>
            <w:rFonts w:ascii="Tahoma" w:hAnsi="Tahoma" w:cs="Tahoma"/>
            <w:sz w:val="20"/>
            <w:szCs w:val="20"/>
          </w:rPr>
          <w:t>https://negawatt.org/Scenario-negaWatt-2022</w:t>
        </w:r>
      </w:hyperlink>
    </w:p>
    <w:p w14:paraId="0A3C6EE6" w14:textId="341C83D4" w:rsidR="00DE660D" w:rsidRDefault="00DE660D" w:rsidP="00F849DD">
      <w:pPr>
        <w:rPr>
          <w:rFonts w:asciiTheme="minorHAnsi" w:hAnsiTheme="minorHAnsi"/>
          <w:sz w:val="22"/>
          <w:szCs w:val="22"/>
        </w:rPr>
      </w:pPr>
    </w:p>
    <w:p w14:paraId="4B772646" w14:textId="77777777" w:rsidR="000C22D9" w:rsidRDefault="000C22D9" w:rsidP="000C22D9">
      <w:pPr>
        <w:rPr>
          <w:rFonts w:asciiTheme="minorHAnsi" w:hAnsiTheme="minorHAnsi"/>
          <w:color w:val="000000"/>
          <w:sz w:val="22"/>
          <w:szCs w:val="22"/>
        </w:rPr>
      </w:pPr>
    </w:p>
    <w:p w14:paraId="35043887" w14:textId="77777777" w:rsidR="00EF347E" w:rsidRPr="00EF347E" w:rsidRDefault="00EF347E" w:rsidP="000C22D9">
      <w:pPr>
        <w:rPr>
          <w:rFonts w:asciiTheme="minorHAnsi" w:hAnsiTheme="minorHAnsi"/>
          <w:color w:val="000000"/>
          <w:sz w:val="22"/>
          <w:szCs w:val="22"/>
          <w:u w:val="single"/>
        </w:rPr>
      </w:pPr>
      <w:r w:rsidRPr="00EF347E">
        <w:rPr>
          <w:rFonts w:asciiTheme="minorHAnsi" w:hAnsiTheme="minorHAnsi"/>
          <w:color w:val="000000"/>
          <w:sz w:val="22"/>
          <w:szCs w:val="22"/>
          <w:u w:val="single"/>
        </w:rPr>
        <w:t>Association négaWat</w:t>
      </w:r>
      <w:r>
        <w:rPr>
          <w:rFonts w:asciiTheme="minorHAnsi" w:hAnsiTheme="minorHAnsi"/>
          <w:color w:val="000000"/>
          <w:sz w:val="22"/>
          <w:szCs w:val="22"/>
          <w:u w:val="single"/>
        </w:rPr>
        <w:t>t</w:t>
      </w:r>
    </w:p>
    <w:p w14:paraId="7DF9587F" w14:textId="77777777" w:rsidR="003F3601" w:rsidRDefault="003F3601" w:rsidP="000C22D9">
      <w:pPr>
        <w:rPr>
          <w:rFonts w:asciiTheme="minorHAnsi" w:hAnsiTheme="minorHAnsi"/>
          <w:color w:val="0070C0"/>
          <w:sz w:val="22"/>
          <w:szCs w:val="22"/>
        </w:rPr>
      </w:pPr>
      <w:r w:rsidRPr="003F3601">
        <w:rPr>
          <w:rFonts w:asciiTheme="minorHAnsi" w:hAnsiTheme="minorHAnsi"/>
          <w:color w:val="0070C0"/>
          <w:sz w:val="22"/>
          <w:szCs w:val="22"/>
        </w:rPr>
        <w:t>L’Association négaWatt est animée par une vingtaine d'experts des questions énergétique</w:t>
      </w:r>
      <w:r>
        <w:rPr>
          <w:rFonts w:asciiTheme="minorHAnsi" w:hAnsiTheme="minorHAnsi"/>
          <w:color w:val="0070C0"/>
          <w:sz w:val="22"/>
          <w:szCs w:val="22"/>
        </w:rPr>
        <w:t>s</w:t>
      </w:r>
      <w:r w:rsidRPr="003F3601">
        <w:rPr>
          <w:rFonts w:asciiTheme="minorHAnsi" w:hAnsiTheme="minorHAnsi"/>
          <w:color w:val="0070C0"/>
          <w:sz w:val="22"/>
          <w:szCs w:val="22"/>
        </w:rPr>
        <w:t xml:space="preserve">, </w:t>
      </w:r>
      <w:r>
        <w:rPr>
          <w:rFonts w:asciiTheme="minorHAnsi" w:hAnsiTheme="minorHAnsi"/>
          <w:color w:val="0070C0"/>
          <w:sz w:val="22"/>
          <w:szCs w:val="22"/>
        </w:rPr>
        <w:t>bénéficia</w:t>
      </w:r>
      <w:r w:rsidRPr="003F3601">
        <w:rPr>
          <w:rFonts w:asciiTheme="minorHAnsi" w:hAnsiTheme="minorHAnsi"/>
          <w:color w:val="0070C0"/>
          <w:sz w:val="22"/>
          <w:szCs w:val="22"/>
        </w:rPr>
        <w:t xml:space="preserve">nt d'une forte expérience de terrain et de compétences complémentaires. </w:t>
      </w:r>
      <w:r w:rsidRPr="003F3601">
        <w:rPr>
          <w:rFonts w:asciiTheme="minorHAnsi" w:hAnsiTheme="minorHAnsi"/>
          <w:sz w:val="22"/>
          <w:szCs w:val="22"/>
        </w:rPr>
        <w:t>Née en 2001, cette association à but non lucratif est aujourd'hui soutenue par plus de 1200 membres.</w:t>
      </w:r>
    </w:p>
    <w:p w14:paraId="61C50EF3" w14:textId="77777777" w:rsidR="00DE660D" w:rsidRPr="000807BF" w:rsidRDefault="00DE660D" w:rsidP="000C22D9">
      <w:pPr>
        <w:rPr>
          <w:rFonts w:asciiTheme="minorHAnsi" w:eastAsia="Andale Sans UI" w:hAnsiTheme="minorHAnsi"/>
          <w:color w:val="000000"/>
          <w:kern w:val="2"/>
          <w:sz w:val="22"/>
          <w:szCs w:val="22"/>
        </w:rPr>
      </w:pPr>
    </w:p>
    <w:p w14:paraId="5FDB6235" w14:textId="77777777" w:rsidR="00E801F3" w:rsidRDefault="000807BF">
      <w:pPr>
        <w:rPr>
          <w:rFonts w:asciiTheme="minorHAnsi" w:hAnsiTheme="minorHAnsi"/>
          <w:sz w:val="22"/>
          <w:szCs w:val="22"/>
        </w:rPr>
      </w:pPr>
      <w:r w:rsidRPr="000807BF">
        <w:rPr>
          <w:rFonts w:asciiTheme="minorHAnsi" w:hAnsiTheme="minorHAnsi"/>
          <w:sz w:val="22"/>
          <w:szCs w:val="22"/>
        </w:rPr>
        <w:t xml:space="preserve">En savoir plus : </w:t>
      </w:r>
      <w:hyperlink r:id="rId6" w:history="1">
        <w:r w:rsidRPr="00832B04">
          <w:rPr>
            <w:rStyle w:val="Lienhypertexte"/>
            <w:rFonts w:asciiTheme="minorHAnsi" w:hAnsiTheme="minorHAnsi"/>
            <w:sz w:val="22"/>
            <w:szCs w:val="22"/>
          </w:rPr>
          <w:t>www.negawatt.org</w:t>
        </w:r>
      </w:hyperlink>
    </w:p>
    <w:p w14:paraId="7E537499" w14:textId="77777777" w:rsidR="000807BF" w:rsidRPr="000807BF" w:rsidRDefault="000807BF">
      <w:pPr>
        <w:rPr>
          <w:rFonts w:asciiTheme="minorHAnsi" w:hAnsiTheme="minorHAnsi"/>
          <w:sz w:val="22"/>
          <w:szCs w:val="22"/>
        </w:rPr>
      </w:pPr>
    </w:p>
    <w:p w14:paraId="62AD209E" w14:textId="77777777" w:rsidR="00F943FD" w:rsidRPr="000807BF" w:rsidRDefault="00F943FD">
      <w:pPr>
        <w:rPr>
          <w:rFonts w:asciiTheme="minorHAnsi" w:hAnsiTheme="minorHAnsi"/>
          <w:sz w:val="22"/>
          <w:szCs w:val="22"/>
        </w:rPr>
      </w:pPr>
    </w:p>
    <w:sectPr w:rsidR="00F943FD" w:rsidRPr="0008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2315"/>
    <w:multiLevelType w:val="hybridMultilevel"/>
    <w:tmpl w:val="4A389AD0"/>
    <w:lvl w:ilvl="0" w:tplc="11E4C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46020"/>
    <w:multiLevelType w:val="multilevel"/>
    <w:tmpl w:val="F024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D7"/>
    <w:rsid w:val="000514FD"/>
    <w:rsid w:val="000807BF"/>
    <w:rsid w:val="000C22D9"/>
    <w:rsid w:val="002549D2"/>
    <w:rsid w:val="003F3601"/>
    <w:rsid w:val="004845C4"/>
    <w:rsid w:val="00574EE7"/>
    <w:rsid w:val="00A37678"/>
    <w:rsid w:val="00A851D7"/>
    <w:rsid w:val="00DE660D"/>
    <w:rsid w:val="00E801F3"/>
    <w:rsid w:val="00EF347E"/>
    <w:rsid w:val="00F849DD"/>
    <w:rsid w:val="00F943F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AEEA"/>
  <w15:docId w15:val="{F03B733F-008B-4DAA-B83B-5AF262C8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D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2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660D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57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gawatt.org" TargetMode="External"/><Relationship Id="rId5" Type="http://schemas.openxmlformats.org/officeDocument/2006/relationships/hyperlink" Target="https://negawatt.org/Scenario-negaWatt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Catherine Henry</cp:lastModifiedBy>
  <cp:revision>2</cp:revision>
  <dcterms:created xsi:type="dcterms:W3CDTF">2022-03-07T14:38:00Z</dcterms:created>
  <dcterms:modified xsi:type="dcterms:W3CDTF">2022-03-07T14:38:00Z</dcterms:modified>
</cp:coreProperties>
</file>